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80645</wp:posOffset>
            </wp:positionV>
            <wp:extent cx="15087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CONDUENT INCORPORATED</w:t>
      </w:r>
    </w:p>
    <w:p>
      <w:pPr>
        <w:spacing w:after="0" w:line="79" w:lineRule="exact"/>
        <w:rPr>
          <w:sz w:val="24"/>
          <w:szCs w:val="24"/>
          <w:color w:val="auto"/>
        </w:rPr>
      </w:pPr>
    </w:p>
    <w:tbl>
      <w:tblPr>
        <w:tblLayout w:type="fixed"/>
        <w:tblInd w:w="600" w:type="dxa"/>
        <w:tblCellMar>
          <w:top w:w="0" w:type="dxa"/>
          <w:left w:w="0" w:type="dxa"/>
          <w:bottom w:w="0" w:type="dxa"/>
          <w:right w:w="0" w:type="dxa"/>
        </w:tblCellMar>
      </w:tblPr>
      <w:tr>
        <w:trPr>
          <w:trHeight w:val="247"/>
        </w:trPr>
        <w:tc>
          <w:tcPr>
            <w:tcW w:w="2320" w:type="dxa"/>
            <w:vAlign w:val="bottom"/>
          </w:tcPr>
          <w:p>
            <w:pPr>
              <w:spacing w:after="0"/>
              <w:rPr>
                <w:sz w:val="21"/>
                <w:szCs w:val="21"/>
                <w:color w:val="auto"/>
              </w:rPr>
            </w:pPr>
          </w:p>
        </w:tc>
        <w:tc>
          <w:tcPr>
            <w:tcW w:w="5300" w:type="dxa"/>
            <w:vAlign w:val="bottom"/>
          </w:tcPr>
          <w:p>
            <w:pPr>
              <w:ind w:left="420"/>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1540" w:type="dxa"/>
            <w:vAlign w:val="bottom"/>
          </w:tcPr>
          <w:p>
            <w:pPr>
              <w:spacing w:after="0"/>
              <w:rPr>
                <w:sz w:val="21"/>
                <w:szCs w:val="21"/>
                <w:color w:val="auto"/>
              </w:rPr>
            </w:pPr>
          </w:p>
        </w:tc>
      </w:tr>
      <w:tr>
        <w:trPr>
          <w:trHeight w:val="245"/>
        </w:trPr>
        <w:tc>
          <w:tcPr>
            <w:tcW w:w="2320" w:type="dxa"/>
            <w:vAlign w:val="bottom"/>
          </w:tcPr>
          <w:p>
            <w:pPr>
              <w:jc w:val="center"/>
              <w:ind w:right="362"/>
              <w:spacing w:after="0"/>
              <w:rPr>
                <w:sz w:val="20"/>
                <w:szCs w:val="20"/>
                <w:color w:val="auto"/>
              </w:rPr>
            </w:pPr>
            <w:r>
              <w:rPr>
                <w:rFonts w:ascii="Arial" w:cs="Arial" w:eastAsia="Arial" w:hAnsi="Arial"/>
                <w:sz w:val="18"/>
                <w:szCs w:val="18"/>
                <w:b w:val="1"/>
                <w:bCs w:val="1"/>
                <w:color w:val="auto"/>
                <w:w w:val="97"/>
              </w:rPr>
              <w:t>New York</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001-37817</w:t>
            </w:r>
          </w:p>
        </w:tc>
        <w:tc>
          <w:tcPr>
            <w:tcW w:w="1540" w:type="dxa"/>
            <w:vAlign w:val="bottom"/>
          </w:tcPr>
          <w:p>
            <w:pPr>
              <w:jc w:val="center"/>
              <w:ind w:left="342"/>
              <w:spacing w:after="0"/>
              <w:rPr>
                <w:sz w:val="20"/>
                <w:szCs w:val="20"/>
                <w:color w:val="auto"/>
              </w:rPr>
            </w:pPr>
            <w:r>
              <w:rPr>
                <w:rFonts w:ascii="Arial" w:cs="Arial" w:eastAsia="Arial" w:hAnsi="Arial"/>
                <w:sz w:val="18"/>
                <w:szCs w:val="18"/>
                <w:b w:val="1"/>
                <w:bCs w:val="1"/>
                <w:color w:val="auto"/>
                <w:w w:val="99"/>
              </w:rPr>
              <w:t>81-2983623</w:t>
            </w:r>
          </w:p>
        </w:tc>
      </w:tr>
      <w:tr>
        <w:trPr>
          <w:trHeight w:val="144"/>
        </w:trPr>
        <w:tc>
          <w:tcPr>
            <w:tcW w:w="2320" w:type="dxa"/>
            <w:vAlign w:val="bottom"/>
          </w:tcPr>
          <w:p>
            <w:pPr>
              <w:jc w:val="center"/>
              <w:ind w:right="362"/>
              <w:spacing w:after="0" w:line="145" w:lineRule="exact"/>
              <w:rPr>
                <w:sz w:val="20"/>
                <w:szCs w:val="20"/>
                <w:color w:val="auto"/>
              </w:rPr>
            </w:pPr>
            <w:r>
              <w:rPr>
                <w:rFonts w:ascii="Arial" w:cs="Arial" w:eastAsia="Arial" w:hAnsi="Arial"/>
                <w:sz w:val="14"/>
                <w:szCs w:val="14"/>
                <w:color w:val="auto"/>
              </w:rPr>
              <w:t>(State or other jurisdiction of</w:t>
            </w:r>
          </w:p>
        </w:tc>
        <w:tc>
          <w:tcPr>
            <w:tcW w:w="5300" w:type="dxa"/>
            <w:vAlign w:val="bottom"/>
          </w:tcPr>
          <w:p>
            <w:pPr>
              <w:ind w:left="2040"/>
              <w:spacing w:after="0" w:line="145" w:lineRule="exact"/>
              <w:rPr>
                <w:sz w:val="20"/>
                <w:szCs w:val="20"/>
                <w:color w:val="auto"/>
              </w:rPr>
            </w:pPr>
            <w:r>
              <w:rPr>
                <w:rFonts w:ascii="Arial" w:cs="Arial" w:eastAsia="Arial" w:hAnsi="Arial"/>
                <w:sz w:val="14"/>
                <w:szCs w:val="14"/>
                <w:color w:val="auto"/>
              </w:rPr>
              <w:t>(Commission</w:t>
            </w:r>
          </w:p>
        </w:tc>
        <w:tc>
          <w:tcPr>
            <w:tcW w:w="1540" w:type="dxa"/>
            <w:vAlign w:val="bottom"/>
          </w:tcPr>
          <w:p>
            <w:pPr>
              <w:jc w:val="center"/>
              <w:ind w:left="362"/>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320" w:type="dxa"/>
            <w:vAlign w:val="bottom"/>
          </w:tcPr>
          <w:p>
            <w:pPr>
              <w:jc w:val="center"/>
              <w:ind w:right="362"/>
              <w:spacing w:after="0"/>
              <w:rPr>
                <w:sz w:val="20"/>
                <w:szCs w:val="20"/>
                <w:color w:val="auto"/>
              </w:rPr>
            </w:pPr>
            <w:r>
              <w:rPr>
                <w:rFonts w:ascii="Arial" w:cs="Arial" w:eastAsia="Arial" w:hAnsi="Arial"/>
                <w:sz w:val="14"/>
                <w:szCs w:val="14"/>
                <w:color w:val="auto"/>
              </w:rPr>
              <w:t>incorporation or organization)</w:t>
            </w:r>
          </w:p>
        </w:tc>
        <w:tc>
          <w:tcPr>
            <w:tcW w:w="5300" w:type="dxa"/>
            <w:vAlign w:val="bottom"/>
          </w:tcPr>
          <w:p>
            <w:pPr>
              <w:ind w:left="2040"/>
              <w:spacing w:after="0"/>
              <w:rPr>
                <w:sz w:val="20"/>
                <w:szCs w:val="20"/>
                <w:color w:val="auto"/>
              </w:rPr>
            </w:pPr>
            <w:r>
              <w:rPr>
                <w:rFonts w:ascii="Arial" w:cs="Arial" w:eastAsia="Arial" w:hAnsi="Arial"/>
                <w:sz w:val="14"/>
                <w:szCs w:val="14"/>
                <w:color w:val="auto"/>
              </w:rPr>
              <w:t>File Number)</w:t>
            </w:r>
          </w:p>
        </w:tc>
        <w:tc>
          <w:tcPr>
            <w:tcW w:w="1540" w:type="dxa"/>
            <w:vAlign w:val="bottom"/>
          </w:tcPr>
          <w:p>
            <w:pPr>
              <w:jc w:val="center"/>
              <w:ind w:left="342"/>
              <w:spacing w:after="0"/>
              <w:rPr>
                <w:sz w:val="20"/>
                <w:szCs w:val="20"/>
                <w:color w:val="auto"/>
              </w:rPr>
            </w:pPr>
            <w:r>
              <w:rPr>
                <w:rFonts w:ascii="Arial" w:cs="Arial" w:eastAsia="Arial" w:hAnsi="Arial"/>
                <w:sz w:val="14"/>
                <w:szCs w:val="14"/>
                <w:color w:val="auto"/>
              </w:rPr>
              <w:t>Identification No.)</w:t>
            </w:r>
          </w:p>
        </w:tc>
      </w:tr>
    </w:tbl>
    <w:p>
      <w:pPr>
        <w:spacing w:after="0" w:line="101" w:lineRule="exact"/>
        <w:rPr>
          <w:sz w:val="24"/>
          <w:szCs w:val="24"/>
          <w:color w:val="auto"/>
        </w:rPr>
      </w:pPr>
    </w:p>
    <w:p>
      <w:pPr>
        <w:ind w:left="4060"/>
        <w:spacing w:after="0"/>
        <w:tabs>
          <w:tab w:leader="none" w:pos="6080" w:val="left"/>
        </w:tabs>
        <w:rPr>
          <w:sz w:val="20"/>
          <w:szCs w:val="20"/>
          <w:color w:val="auto"/>
        </w:rPr>
      </w:pPr>
      <w:r>
        <w:rPr>
          <w:rFonts w:ascii="Arial" w:cs="Arial" w:eastAsia="Arial" w:hAnsi="Arial"/>
          <w:sz w:val="18"/>
          <w:szCs w:val="18"/>
          <w:b w:val="1"/>
          <w:bCs w:val="1"/>
          <w:color w:val="auto"/>
        </w:rPr>
        <w:t>100 Campus Drive,</w:t>
      </w:r>
      <w:r>
        <w:rPr>
          <w:sz w:val="20"/>
          <w:szCs w:val="20"/>
          <w:color w:val="auto"/>
        </w:rPr>
        <w:tab/>
      </w:r>
      <w:r>
        <w:rPr>
          <w:rFonts w:ascii="Arial" w:cs="Arial" w:eastAsia="Arial" w:hAnsi="Arial"/>
          <w:sz w:val="17"/>
          <w:szCs w:val="17"/>
          <w:b w:val="1"/>
          <w:bCs w:val="1"/>
          <w:color w:val="auto"/>
        </w:rPr>
        <w:t>Suite 200,</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Florham Park, New Jersey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07932</w:t>
      </w:r>
    </w:p>
    <w:p>
      <w:pPr>
        <w:spacing w:after="0" w:line="23"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(Address of principal executive offices) (Zip Code)</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663-2638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050" w:right="339" w:bottom="1440" w:gutter="0" w:footer="0" w:header="0"/>
        </w:sectPr>
      </w:pPr>
    </w:p>
    <w:p>
      <w:pPr>
        <w:spacing w:after="0" w:line="50" w:lineRule="exact"/>
        <w:rPr>
          <w:sz w:val="24"/>
          <w:szCs w:val="24"/>
          <w:color w:val="auto"/>
        </w:rPr>
      </w:pPr>
    </w:p>
    <w:p>
      <w:pPr>
        <w:ind w:left="12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3420" w:space="720"/>
            <w:col w:w="2220" w:space="720"/>
            <w:col w:w="4160"/>
          </w:cols>
          <w:pgMar w:left="320" w:top="1050" w:right="339" w:bottom="1440" w:gutter="0" w:footer="0" w:header="0"/>
          <w:type w:val="continuous"/>
        </w:sectPr>
      </w:pPr>
    </w:p>
    <w:p>
      <w:pPr>
        <w:ind w:left="48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3760" w:space="720"/>
            <w:col w:w="2000" w:space="720"/>
            <w:col w:w="4040"/>
          </w:cols>
          <w:pgMar w:left="320" w:top="1050" w:right="339" w:bottom="1440" w:gutter="0" w:footer="0" w:header="0"/>
          <w:type w:val="continuous"/>
        </w:sectPr>
      </w:pPr>
    </w:p>
    <w:p>
      <w:pPr>
        <w:spacing w:after="0" w:line="12" w:lineRule="exact"/>
        <w:rPr>
          <w:sz w:val="24"/>
          <w:szCs w:val="24"/>
          <w:color w:val="auto"/>
        </w:rPr>
      </w:pPr>
    </w:p>
    <w:p>
      <w:pPr>
        <w:ind w:right="38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(CFR 230.405) or Rule 12b-2 of the Securities Exchange Act of 1934 (CFR 240.12b-2).</w:t>
      </w:r>
    </w:p>
    <w:p>
      <w:pPr>
        <w:spacing w:after="0" w:line="2"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29, 2026, Conduent Incorporated (the “Company”), by and through its wholly owned subsidiary Conduent Business Services, LLC (“CBS”), entered into an Asset Purchase Agreement (the “Purchase Agreement”) with Quarterhill Inc., a Canada Business Corporations Act corporation (“Buyer”). Under the Purchase Agreement, the Company, by and through certain of its subsidiaries, will sell and assign, and Buyer will purchase and assume from the Company, certain assets and liabilities of the Company’s tolling solutions business (the “Tolling Business”), on the terms and subject to the conditions set forth therein.</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purchase price consists of $70 million in cash, subject to customary purchase price adjustments, and a number of common shares of Buyer equal to seven percent (7%) of the issued and outstanding shares of Buyer, calculated as of immediately prior to the closing. The consummation of the transaction is subject to satisfaction or waiver of customary closing conditions and is expected to close during the fourth quarter of 2026.</w:t>
      </w:r>
    </w:p>
    <w:p>
      <w:pPr>
        <w:spacing w:after="0" w:line="8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Purchase Agreement contains customary representations and warranties and pre</w:t>
      </w:r>
      <w:r>
        <w:rPr>
          <w:rFonts w:ascii="MS PGothic" w:cs="MS PGothic" w:eastAsia="MS PGothic" w:hAnsi="MS PGothic"/>
          <w:sz w:val="18"/>
          <w:szCs w:val="18"/>
          <w:color w:val="auto"/>
        </w:rPr>
        <w:t>‑</w:t>
      </w:r>
      <w:r>
        <w:rPr>
          <w:rFonts w:ascii="Arial" w:cs="Arial" w:eastAsia="Arial" w:hAnsi="Arial"/>
          <w:sz w:val="18"/>
          <w:szCs w:val="18"/>
          <w:color w:val="auto"/>
        </w:rPr>
        <w:t>closing covenants for a transaction of this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type.</w:t>
      </w:r>
    </w:p>
    <w:p>
      <w:pPr>
        <w:spacing w:after="0" w:line="153"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Consummation of the transactions pursuant to the Purchase Agreement are subject to various conditions, including, among others (i) the absence of any legal restraint, (ii) receipt of required approvals under applicable competition and foreign investment control laws, (iii) receipt of specified third</w:t>
      </w:r>
      <w:r>
        <w:rPr>
          <w:rFonts w:ascii="MS PGothic" w:cs="MS PGothic" w:eastAsia="MS PGothic" w:hAnsi="MS PGothic"/>
          <w:sz w:val="18"/>
          <w:szCs w:val="18"/>
          <w:color w:val="auto"/>
        </w:rPr>
        <w:t>‑</w:t>
      </w:r>
      <w:r>
        <w:rPr>
          <w:rFonts w:ascii="Arial" w:cs="Arial" w:eastAsia="Arial" w:hAnsi="Arial"/>
          <w:sz w:val="18"/>
          <w:szCs w:val="18"/>
          <w:color w:val="auto"/>
        </w:rPr>
        <w:t>party consents, (iv) accuracy of representations and warranties (subject to agreed standards), (v) performance in all material respects of certain covenants, and (vi) receipt of conditional approval of the Toronto Stock Exchange for the issuance and listing of the stock consideration.</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Purchase Agreement also contains certain customary termination rights for both CBS and Buyer. In consideration of the purchase price, CBS has agreed to a customary non-competition provision preventing CBS and its affiliates from participating in certain competitive activities.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foregoing description of the Purchase Agreement does not purport to be complete and is subject to, and qualified in its entirety by, the full text of the Purchase Agreement, which will be filed as an exhibit to the Company’s next periodic report to be filed with the SEC.</w:t>
      </w:r>
    </w:p>
    <w:p>
      <w:pPr>
        <w:spacing w:after="0" w:line="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30, 2026, the Company issued a press release announcing the contemplated sale of the Tolling Business.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 copy of the press release is attached as Exhibit 99.1 hereto. The information contained in Item 7.01 and in Exhibit 99.1 to this Current Report on Form 8-K shall not be deemed “filed” with the Securities and Exchange Commission for purposes of Section 18 of the Exchange Act of 1934, as amended, or otherwise subject to the liability of that section.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Regulation FD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20" w:type="dxa"/>
            <w:vAlign w:val="bottom"/>
            <w:gridSpan w:val="4"/>
          </w:tcPr>
          <w:p>
            <w:pPr>
              <w:ind w:left="460"/>
              <w:spacing w:after="0"/>
              <w:rPr>
                <w:sz w:val="20"/>
                <w:szCs w:val="20"/>
                <w:color w:val="auto"/>
              </w:rPr>
            </w:pPr>
            <w:r>
              <w:rPr>
                <w:rFonts w:ascii="Arial" w:cs="Arial" w:eastAsia="Arial" w:hAnsi="Arial"/>
                <w:sz w:val="18"/>
                <w:szCs w:val="18"/>
                <w:b w:val="1"/>
                <w:bCs w:val="1"/>
                <w:color w:val="auto"/>
              </w:rPr>
              <w:t>Exhibit No.</w:t>
            </w:r>
          </w:p>
        </w:tc>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840" w:type="dxa"/>
            <w:vAlign w:val="bottom"/>
            <w:tcBorders>
              <w:top w:val="single" w:sz="8" w:color="auto"/>
            </w:tcBorders>
            <w:gridSpan w:val="3"/>
          </w:tcPr>
          <w:p>
            <w:pPr>
              <w:jc w:val="center"/>
              <w:ind w:right="720"/>
              <w:spacing w:after="0" w:line="182"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80" w:type="dxa"/>
            <w:vAlign w:val="bottom"/>
          </w:tcPr>
          <w:p>
            <w:pPr>
              <w:spacing w:after="0"/>
              <w:rPr>
                <w:sz w:val="15"/>
                <w:szCs w:val="15"/>
                <w:color w:val="auto"/>
              </w:rPr>
            </w:pPr>
          </w:p>
        </w:tc>
        <w:tc>
          <w:tcPr>
            <w:tcW w:w="91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Press Release dated June 30, 2026 (furnished pursuant to Item 7.01).</w:t>
            </w:r>
          </w:p>
        </w:tc>
      </w:tr>
      <w:tr>
        <w:trPr>
          <w:trHeight w:val="254"/>
        </w:trPr>
        <w:tc>
          <w:tcPr>
            <w:tcW w:w="760" w:type="dxa"/>
            <w:vAlign w:val="bottom"/>
          </w:tcPr>
          <w:p>
            <w:pPr>
              <w:spacing w:after="0"/>
              <w:rPr>
                <w:sz w:val="22"/>
                <w:szCs w:val="22"/>
                <w:color w:val="auto"/>
              </w:rPr>
            </w:pPr>
          </w:p>
        </w:tc>
        <w:tc>
          <w:tcPr>
            <w:tcW w:w="34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w w:val="99"/>
              </w:rPr>
              <w:t>104</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623"/>
        </w:trPr>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6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This Report and any exhibits to this Report may contain “forward-looking statements” as defined in the Private Securities Litigation Reform Act of 1995, as amended. The words “anticipate,” “believe,” “estimate,” “expect,” “plan,” “intend,” “will,” “aim,” “should,” “could,” “forecast,” “target,” “may,” “continue to,” “endeavor,” “if,” “growing,” “projected,” “potential,” “likely,” “see,” “ahead,” “further,” “going forward,” “on the horizon,” and similar expressions, as they relate to us, are intended to identify forward-looking statements, but the absence of these words does not mean that a statement is not forward-looking. These statements include, but may not be limited to, statements regarding the expectation that the sale of the Company’s Tolling Business will be consummated and the timing of such consummation.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 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Current Report on Form 8-K, any exhibits to this Current Report on Form 8-K and other public statements we make. Important factors and uncertainties that could cause actual results to differ materially from those in our forward-looking statements include, but are not limited to: the Company’s ability to realize the benefits anticipated from the sale of the Company’s Tolling Business, including as a result of the failure of any conditions to the closing of the transaction such that the closing of the transaction is delayed or does not occur; unexpected costs, liabilities or delays in connection with the proposed transaction; the significant transaction costs associated with the proposed transaction; negative effects of the announcement, pendency or consummation of the transaction on the market price of our common stock or operating results, including as a result of changes in key customer, supplier, employee or other business relationships; the risk of litigation or regulatory actions; our inability to retain and hire key personnel; and other factors that are set forth in the “Risk Factors” and other sections of our Annual Report on Form 10-K, as well as in our Quarterly Reports on Form 10-Q and Current Reports on Form 8-K filed with the Securities and Exchange Commission (SEC). Any forward-looking statements made by us in this Form 8-K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Registrant has duly authorized this report to be signed on its behalf by the undersigned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2026</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CONDUENT INCORPORATED</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MICHAEL FISHERMAN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17780</wp:posOffset>
            </wp:positionV>
            <wp:extent cx="6351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Fisherman</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1160"/>
          </w:cols>
          <w:pgMar w:left="320" w:top="998"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News from Conduent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31750</wp:posOffset>
            </wp:positionV>
            <wp:extent cx="113157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1570" cy="2825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Conduent</w:t>
      </w:r>
    </w:p>
    <w:p>
      <w:pPr>
        <w:ind w:left="7160"/>
        <w:spacing w:after="0" w:line="205" w:lineRule="auto"/>
        <w:rPr>
          <w:sz w:val="20"/>
          <w:szCs w:val="20"/>
          <w:color w:val="auto"/>
        </w:rPr>
      </w:pPr>
      <w:r>
        <w:rPr>
          <w:rFonts w:ascii="Times New Roman" w:cs="Times New Roman" w:eastAsia="Times New Roman" w:hAnsi="Times New Roman"/>
          <w:sz w:val="18"/>
          <w:szCs w:val="18"/>
          <w:color w:val="auto"/>
        </w:rPr>
        <w:t>Incorporated 100</w:t>
      </w:r>
    </w:p>
    <w:p>
      <w:pPr>
        <w:ind w:left="7160"/>
        <w:spacing w:after="0" w:line="204" w:lineRule="auto"/>
        <w:rPr>
          <w:sz w:val="20"/>
          <w:szCs w:val="20"/>
          <w:color w:val="auto"/>
        </w:rPr>
      </w:pPr>
      <w:r>
        <w:rPr>
          <w:rFonts w:ascii="Times New Roman" w:cs="Times New Roman" w:eastAsia="Times New Roman" w:hAnsi="Times New Roman"/>
          <w:sz w:val="18"/>
          <w:szCs w:val="18"/>
          <w:color w:val="auto"/>
        </w:rPr>
        <w:t>Campus Drive</w:t>
      </w:r>
    </w:p>
    <w:p>
      <w:pPr>
        <w:ind w:left="7160"/>
        <w:spacing w:after="0" w:line="219" w:lineRule="auto"/>
        <w:rPr>
          <w:sz w:val="20"/>
          <w:szCs w:val="20"/>
          <w:color w:val="auto"/>
        </w:rPr>
      </w:pPr>
      <w:r>
        <w:rPr>
          <w:rFonts w:ascii="Times New Roman" w:cs="Times New Roman" w:eastAsia="Times New Roman" w:hAnsi="Times New Roman"/>
          <w:sz w:val="18"/>
          <w:szCs w:val="18"/>
          <w:color w:val="auto"/>
        </w:rPr>
        <w:t>Florham Park, N.J.</w:t>
      </w:r>
    </w:p>
    <w:p>
      <w:pPr>
        <w:ind w:left="7160"/>
        <w:spacing w:after="0" w:line="203" w:lineRule="auto"/>
        <w:rPr>
          <w:sz w:val="20"/>
          <w:szCs w:val="20"/>
          <w:color w:val="auto"/>
        </w:rPr>
      </w:pPr>
      <w:r>
        <w:rPr>
          <w:rFonts w:ascii="Times New Roman" w:cs="Times New Roman" w:eastAsia="Times New Roman" w:hAnsi="Times New Roman"/>
          <w:sz w:val="18"/>
          <w:szCs w:val="18"/>
          <w:color w:val="auto"/>
        </w:rPr>
        <w:t>07932</w:t>
      </w:r>
    </w:p>
    <w:p>
      <w:pPr>
        <w:spacing w:after="0" w:line="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www.Conduent.com</w:t>
      </w: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Conduent Announces Agreement to Sell Its Tolling Business to</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Quarterhill Inc. for $70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Conduent Will Also Receive a 7% Interest in Quarterhill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Conduent Bolsters Financial Position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Tolling Agreement Follows Recently Announced Agreement to Sell Its Public Transit Business.</w:t>
      </w:r>
    </w:p>
    <w:p>
      <w:pPr>
        <w:spacing w:after="0" w:line="124" w:lineRule="exact"/>
        <w:rPr>
          <w:sz w:val="20"/>
          <w:szCs w:val="20"/>
          <w:color w:val="auto"/>
        </w:rPr>
      </w:pPr>
    </w:p>
    <w:p>
      <w:pPr>
        <w:ind w:right="180"/>
        <w:spacing w:after="0" w:line="253" w:lineRule="exact"/>
        <w:rPr>
          <w:sz w:val="20"/>
          <w:szCs w:val="20"/>
          <w:color w:val="auto"/>
        </w:rPr>
      </w:pPr>
      <w:r>
        <w:rPr>
          <w:rFonts w:ascii="Arial" w:cs="Arial" w:eastAsia="Arial" w:hAnsi="Arial"/>
          <w:sz w:val="20"/>
          <w:szCs w:val="20"/>
          <w:b w:val="1"/>
          <w:bCs w:val="1"/>
          <w:color w:val="auto"/>
        </w:rPr>
        <w:t xml:space="preserve">FLORHAM PARK, N.J., [June 30, 2026]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Conduent Incorporated</w:t>
      </w:r>
      <w:r>
        <w:rPr>
          <w:rFonts w:ascii="Arial" w:cs="Arial" w:eastAsia="Arial" w:hAnsi="Arial"/>
          <w:sz w:val="20"/>
          <w:szCs w:val="20"/>
          <w:b w:val="1"/>
          <w:bCs w:val="1"/>
          <w:color w:val="auto"/>
        </w:rPr>
        <w:t xml:space="preserve"> </w:t>
      </w:r>
      <w:r>
        <w:rPr>
          <w:rFonts w:ascii="Arial" w:cs="Arial" w:eastAsia="Arial" w:hAnsi="Arial"/>
          <w:sz w:val="20"/>
          <w:szCs w:val="20"/>
          <w:color w:val="auto"/>
        </w:rPr>
        <w:t>(Nasdaq: CNDT), a global technology</w:t>
      </w:r>
      <w:r>
        <w:rPr>
          <w:rFonts w:ascii="MS PGothic" w:cs="MS PGothic" w:eastAsia="MS PGothic" w:hAnsi="MS PGothic"/>
          <w:sz w:val="20"/>
          <w:szCs w:val="20"/>
          <w:color w:val="auto"/>
        </w:rPr>
        <w:t>‑</w:t>
      </w:r>
      <w:r>
        <w:rPr>
          <w:rFonts w:ascii="Arial" w:cs="Arial" w:eastAsia="Arial" w:hAnsi="Arial"/>
          <w:sz w:val="20"/>
          <w:szCs w:val="20"/>
          <w:color w:val="auto"/>
        </w:rPr>
        <w:t>driven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solutions and services provider, today announced that it has entered into a definitive agreement to sell its Tolling business (a division of Conduent Transportation) to Quarterhill Inc. (TSX: QTRH) (OTCQX: QTRHF), a leading global provider of intelligent transportation system solutions.</w:t>
      </w:r>
    </w:p>
    <w:p>
      <w:pPr>
        <w:spacing w:after="0" w:line="145" w:lineRule="exact"/>
        <w:rPr>
          <w:sz w:val="20"/>
          <w:szCs w:val="20"/>
          <w:color w:val="auto"/>
        </w:rPr>
      </w:pPr>
    </w:p>
    <w:p>
      <w:pPr>
        <w:jc w:val="both"/>
        <w:ind w:right="280"/>
        <w:spacing w:after="0" w:line="262" w:lineRule="auto"/>
        <w:rPr>
          <w:sz w:val="20"/>
          <w:szCs w:val="20"/>
          <w:color w:val="auto"/>
        </w:rPr>
      </w:pPr>
      <w:r>
        <w:rPr>
          <w:rFonts w:ascii="Arial" w:cs="Arial" w:eastAsia="Arial" w:hAnsi="Arial"/>
          <w:sz w:val="20"/>
          <w:szCs w:val="20"/>
          <w:color w:val="auto"/>
        </w:rPr>
        <w:t>The sale has a purchase price of $70 million in cash, and Quarterhill will assume most liabilities associated with the business, including all surety bond obligations, further improving Conduent’s financial profile. The structure of the transaction enhances Conduent’s financial flexibility and reduces exposure to non-core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transaction is expected to close before the end of 2026.</w:t>
      </w:r>
    </w:p>
    <w:p>
      <w:pPr>
        <w:spacing w:after="0" w:line="162" w:lineRule="exact"/>
        <w:rPr>
          <w:sz w:val="20"/>
          <w:szCs w:val="20"/>
          <w:color w:val="auto"/>
        </w:rPr>
      </w:pPr>
    </w:p>
    <w:p>
      <w:pPr>
        <w:jc w:val="both"/>
        <w:ind w:right="300"/>
        <w:spacing w:after="0" w:line="286" w:lineRule="auto"/>
        <w:rPr>
          <w:sz w:val="20"/>
          <w:szCs w:val="20"/>
          <w:color w:val="auto"/>
        </w:rPr>
      </w:pPr>
      <w:r>
        <w:rPr>
          <w:rFonts w:ascii="Arial" w:cs="Arial" w:eastAsia="Arial" w:hAnsi="Arial"/>
          <w:sz w:val="20"/>
          <w:szCs w:val="20"/>
          <w:color w:val="auto"/>
        </w:rPr>
        <w:t>This agreement follows a separate transaction, announced in May, to sell the Public Transit business, also part of Conduent’s Transportation division, which is similarly expected to close before the end of 2026.</w:t>
      </w:r>
    </w:p>
    <w:p>
      <w:pPr>
        <w:spacing w:after="0" w:line="100" w:lineRule="exact"/>
        <w:rPr>
          <w:sz w:val="20"/>
          <w:szCs w:val="20"/>
          <w:color w:val="auto"/>
        </w:rPr>
      </w:pPr>
    </w:p>
    <w:p>
      <w:pPr>
        <w:ind w:right="1140"/>
        <w:spacing w:after="0" w:line="271" w:lineRule="auto"/>
        <w:rPr>
          <w:sz w:val="20"/>
          <w:szCs w:val="20"/>
          <w:color w:val="auto"/>
        </w:rPr>
      </w:pPr>
      <w:r>
        <w:rPr>
          <w:rFonts w:ascii="Arial" w:cs="Arial" w:eastAsia="Arial" w:hAnsi="Arial"/>
          <w:sz w:val="20"/>
          <w:szCs w:val="20"/>
          <w:color w:val="auto"/>
        </w:rPr>
        <w:t>Together, these transactions simplify Conduent’s portfolio and increase focus on its core businesses, enhancing the predictability and durability of Conduent’s earnings profile.</w:t>
      </w:r>
    </w:p>
    <w:p>
      <w:pPr>
        <w:spacing w:after="0" w:line="115"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“This Tolling transaction, alongside the previously announced Public Transit agreement, advances our strategy to simplify our portfolio, sharpen focus on our core businesses, and strengthen our financial foundation,” said Harsha V. Agadi, Conduent President and Chief Executive Officer. “We are continuing our strategic journey to enhance long-term value creation, including simplifying our business, strengthening the balance sheet, and increasing sustainable free cash flow.</w:t>
      </w:r>
    </w:p>
    <w:p>
      <w:pPr>
        <w:spacing w:after="0" w:line="130"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“With more than four decades of experience in tolling, Quarterhill is extremely well positioned to support the Conduent Tolling team and its clients. As we move toward closing, we remain committed to delivering outstanding quality and performance for all Transportation clients while ensuring smooth transitions for both clients and associates.”</w:t>
      </w:r>
    </w:p>
    <w:p>
      <w:pPr>
        <w:spacing w:after="0" w:line="124" w:lineRule="exact"/>
        <w:rPr>
          <w:sz w:val="20"/>
          <w:szCs w:val="20"/>
          <w:color w:val="auto"/>
        </w:rPr>
      </w:pPr>
    </w:p>
    <w:p>
      <w:pPr>
        <w:ind w:right="400"/>
        <w:spacing w:after="0" w:line="271" w:lineRule="auto"/>
        <w:rPr>
          <w:sz w:val="20"/>
          <w:szCs w:val="20"/>
          <w:color w:val="auto"/>
        </w:rPr>
      </w:pPr>
      <w:r>
        <w:rPr>
          <w:rFonts w:ascii="Arial" w:cs="Arial" w:eastAsia="Arial" w:hAnsi="Arial"/>
          <w:sz w:val="20"/>
          <w:szCs w:val="20"/>
          <w:color w:val="auto"/>
        </w:rPr>
        <w:t>As part of the transaction, Conduent will also receive a 7% interest in Quarterhill Inc. along with registration rights and board observer rights, providing potential upside participation in future value creation.</w:t>
      </w:r>
    </w:p>
    <w:p>
      <w:pPr>
        <w:spacing w:after="0" w:line="69" w:lineRule="exact"/>
        <w:rPr>
          <w:sz w:val="20"/>
          <w:szCs w:val="20"/>
          <w:color w:val="auto"/>
        </w:rPr>
      </w:pPr>
    </w:p>
    <w:p>
      <w:pPr>
        <w:ind w:right="120"/>
        <w:spacing w:after="0" w:line="260" w:lineRule="exact"/>
        <w:rPr>
          <w:sz w:val="20"/>
          <w:szCs w:val="20"/>
          <w:color w:val="auto"/>
        </w:rPr>
      </w:pPr>
      <w:r>
        <w:rPr>
          <w:rFonts w:ascii="Arial" w:cs="Arial" w:eastAsia="Arial" w:hAnsi="Arial"/>
          <w:sz w:val="20"/>
          <w:szCs w:val="20"/>
          <w:color w:val="auto"/>
        </w:rPr>
        <w:t>With operations in the United States and United Kingdom, Conduent’s Tolling business provides mission</w:t>
      </w:r>
      <w:r>
        <w:rPr>
          <w:rFonts w:ascii="MS PGothic" w:cs="MS PGothic" w:eastAsia="MS PGothic" w:hAnsi="MS PGothic"/>
          <w:sz w:val="20"/>
          <w:szCs w:val="20"/>
          <w:color w:val="auto"/>
        </w:rPr>
        <w:t>‑</w:t>
      </w:r>
      <w:r>
        <w:rPr>
          <w:rFonts w:ascii="Arial" w:cs="Arial" w:eastAsia="Arial" w:hAnsi="Arial"/>
          <w:sz w:val="20"/>
          <w:szCs w:val="20"/>
          <w:color w:val="auto"/>
        </w:rPr>
        <w:t>critical technology that enables all</w:t>
      </w:r>
      <w:r>
        <w:rPr>
          <w:rFonts w:ascii="MS PGothic" w:cs="MS PGothic" w:eastAsia="MS PGothic" w:hAnsi="MS PGothic"/>
          <w:sz w:val="20"/>
          <w:szCs w:val="20"/>
          <w:color w:val="auto"/>
        </w:rPr>
        <w:t>‑</w:t>
      </w:r>
      <w:r>
        <w:rPr>
          <w:rFonts w:ascii="Arial" w:cs="Arial" w:eastAsia="Arial" w:hAnsi="Arial"/>
          <w:sz w:val="20"/>
          <w:szCs w:val="20"/>
          <w:color w:val="auto"/>
        </w:rPr>
        <w:t>electronic tolling, roadside and back</w:t>
      </w:r>
      <w:r>
        <w:rPr>
          <w:rFonts w:ascii="MS PGothic" w:cs="MS PGothic" w:eastAsia="MS PGothic" w:hAnsi="MS PGothic"/>
          <w:sz w:val="20"/>
          <w:szCs w:val="20"/>
          <w:color w:val="auto"/>
        </w:rPr>
        <w:t>‑</w:t>
      </w:r>
      <w:r>
        <w:rPr>
          <w:rFonts w:ascii="Arial" w:cs="Arial" w:eastAsia="Arial" w:hAnsi="Arial"/>
          <w:sz w:val="20"/>
          <w:szCs w:val="20"/>
          <w:color w:val="auto"/>
        </w:rPr>
        <w:t>office processing, image review, violation enforcement, and analytics. It supports more than 14 million tolling transactions per day.</w:t>
      </w:r>
    </w:p>
    <w:p>
      <w:pPr>
        <w:sectPr>
          <w:pgSz w:w="11900" w:h="16838" w:orient="portrait"/>
          <w:cols w:equalWidth="0" w:num="1">
            <w:col w:w="11240"/>
          </w:cols>
          <w:pgMar w:left="320" w:top="12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309" w:lineRule="exact"/>
        <w:rPr>
          <w:sz w:val="20"/>
          <w:szCs w:val="20"/>
          <w:color w:val="auto"/>
        </w:rPr>
      </w:pPr>
    </w:p>
    <w:p>
      <w:pPr>
        <w:ind w:right="460"/>
        <w:spacing w:after="0" w:line="286" w:lineRule="auto"/>
        <w:rPr>
          <w:sz w:val="20"/>
          <w:szCs w:val="20"/>
          <w:color w:val="auto"/>
        </w:rPr>
      </w:pPr>
      <w:r>
        <w:rPr>
          <w:rFonts w:ascii="Arial" w:cs="Arial" w:eastAsia="Arial" w:hAnsi="Arial"/>
          <w:sz w:val="20"/>
          <w:szCs w:val="20"/>
          <w:color w:val="auto"/>
        </w:rPr>
        <w:t>Additional details of the transaction are outlined in Conduent’s 8-K filed with the U.S. Securities and Exchange Commission (SEC) today.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Conduent</w:t>
      </w:r>
    </w:p>
    <w:p>
      <w:pPr>
        <w:spacing w:after="0" w:line="177"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auto"/>
        </w:rPr>
        <w:t>Conduent delivers digital business solutions and services spanning the commercial, government and transportation spectrum – creating valuable outcomes for its clients and the millions of people who count on them. The Company leverages cloud computing, artificial intelligence, machine learning, automation and advanced analytics to deliver mission-critical solutions. Through a dedicated global team of approximately 48,000 associates, process expertise and advanced technologies, Conduent’s solutions and services digitally transform its clients’ operations to enhance customer experiences, improve performance, increase efficiencies and reduce costs. Conduent adds momentum to its clients’ missions in many ways including disbursing approximately $80 billion in government payments annually, enabling approximately 2.0 billion customer service interactions annually, empowering millions of employees through HR services every year and processing over 14 million tolling transactions every day. Learn more at www.conduent.com.</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Quarterhill</w:t>
      </w:r>
    </w:p>
    <w:p>
      <w:pPr>
        <w:spacing w:after="0" w:line="177"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Quarterhill is a global leader in the Intelligent Transportation System (ITS) industry, advancing mobility through smart infrastructure solutions that reduce congestion, improve roadway safety, and create more sustainable travel. Each year, Quarterhill's platforms process billions of transactions, perform compliance and safety inspections on millions of commercial vehicles, and enable transportation agencies worldwide to optimize thousands of lanes of traffic to improve travel for everyone. Leveraging advanced artificial intelligence and machine learning technologies, Quarterhill's platform delivers automation and predictive insight to help agencies manage transportation networks more efficiently. By working in close partnership with governments, communities, and industry leaders, Quarterhill is building today's connected roadways while shaping the next generation of intelligent, resilient mobility. Quarterhill is listed on the TSX under the symbol QTRH and on the OTCQX Best Market under the symbol QTRHF. Learn more at www.quarterhill.com.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Remy Kaul, Conduent, remy.kaul@conduent.com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Conduent, ir@conduent.com</w:t>
      </w:r>
    </w:p>
    <w:p>
      <w:pPr>
        <w:spacing w:after="0" w:line="200" w:lineRule="exact"/>
        <w:rPr>
          <w:sz w:val="20"/>
          <w:szCs w:val="20"/>
          <w:color w:val="auto"/>
        </w:rPr>
      </w:pPr>
    </w:p>
    <w:p>
      <w:pPr>
        <w:spacing w:after="0" w:line="279" w:lineRule="exact"/>
        <w:rPr>
          <w:sz w:val="20"/>
          <w:szCs w:val="20"/>
          <w:color w:val="auto"/>
        </w:rPr>
      </w:pPr>
    </w:p>
    <w:p>
      <w:pPr>
        <w:ind w:right="520"/>
        <w:spacing w:after="0" w:line="288"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 www.news.conduent.com. For open commentary, industry perspectives and views,</w:t>
      </w:r>
      <w:r>
        <w:rPr>
          <w:rFonts w:ascii="Arial" w:cs="Arial" w:eastAsia="Arial" w:hAnsi="Arial"/>
          <w:sz w:val="20"/>
          <w:szCs w:val="20"/>
          <w:b w:val="1"/>
          <w:bCs w:val="1"/>
          <w:color w:val="auto"/>
        </w:rPr>
        <w:t xml:space="preserve"> </w:t>
      </w:r>
      <w:r>
        <w:rPr>
          <w:rFonts w:ascii="Arial" w:cs="Arial" w:eastAsia="Arial" w:hAnsi="Arial"/>
          <w:sz w:val="20"/>
          <w:szCs w:val="20"/>
          <w:color w:val="auto"/>
        </w:rPr>
        <w:t>https://x.com/Conduent, http://www.linkedin.com/company/Conduent or http://www.facebook.com/Conduent.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Conduent is a trademark of Conduent Incorporated in the United States and/or other countries. Other names may be trademarks of their respective owners.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This press release may contain “forward-looking statements” as defined in the Private Securities Litigation Reform Act of 1995.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w:t>
      </w:r>
    </w:p>
    <w:p>
      <w:pPr>
        <w:sectPr>
          <w:pgSz w:w="11900" w:h="16838" w:orient="portrait"/>
          <w:cols w:equalWidth="0" w:num="1">
            <w:col w:w="11240"/>
          </w:cols>
          <w:pgMar w:left="320" w:top="342"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309"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intended to identify forward-looking statements, but the absence of these words does not mean that a statement is not forward-looking. All statements other than statements of historical fact included in this press release are forward-looking statements, including, but not limited to, all statements regarding the sale of Conduent’s Tolling business, including that such transaction will be consummated and the timing of such consummation, expectations regarding our strategy to simplify our portfolio, sharpen our focus, strengthen our financial foundation, and drive value for our shareholders, clients and employees.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press release, any exhibits to this press release and other public statements we make. Important factors and uncertainties that could cause actual results to differ materially from those in our forward-looking statements include, but are not limited to: Conduent’s ability to realize the benefits anticipated from the sale of its Tolling business, including as a result of a delay or failure to obtain certain required regulatory approvals or the failure of any other condition to the closing of the transaction such that the closing of the transaction is delayed or does not occur; unexpected costs, liabilities or delays in connection with the proposed transaction; the significant transaction costs associated with the proposed transaction; negative effects of the announcement, pendency or consummation of the transaction on the market price of our common stock or operating results, including as a result of changes in key customer, supplier, employee or other business relationships; the risk of litigation or regulatory actions; our inability to retain and hire key personnel; the risk that certain contractual restrictions contained in the definitive transaction agreement during the pendency of the proposed transaction could adversely affect our ability to pursue business opportunities or strategic transactions;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press release speak only as of the date on which they are made. We are under no obligation to, and expressly disclaim any obligation to, update or alter our forward-looking statements, whether because of new information, subsequent events or otherwise, except as required by law.</w:t>
      </w:r>
    </w:p>
    <w:sectPr>
      <w:pgSz w:w="11900" w:h="16838" w:orient="portrait"/>
      <w:cols w:equalWidth="0" w:num="1">
        <w:col w:w="11240"/>
      </w:cols>
      <w:pgMar w:left="32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2026-06-30T12:42:33Z</dcterms:created>
  <dcterms:modified xsi:type="dcterms:W3CDTF">2026-06-30T12:42:33Z</dcterms:modified>
</cp:coreProperties>
</file>