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July 2,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jc w:val="left"/>
        <w:rPr/>
      </w:pPr>
      <w:r>
        <w:rPr>
          <w:rFonts w:ascii="Arial;sans-serif" w:hAnsi="Arial;sans-serif"/>
          <w:b w:val="false"/>
          <w:color w:val="222222"/>
          <w:sz w:val="20"/>
          <w:shd w:fill="FFFFFF" w:val="clear"/>
        </w:rPr>
        <w:t xml:space="preserve">On July 2, 2026, Michael Krawitz informed Registrant that he will be resigning from his position as Executive Vice President, General Counsel and Corporate Secretary to pursue other professional endeavors, effective </w:t>
      </w:r>
      <w:r>
        <w:rPr>
          <w:rFonts w:ascii="Arial;sans-serif" w:hAnsi="Arial;sans-serif"/>
          <w:b w:val="false"/>
          <w:color w:val="000000"/>
          <w:sz w:val="20"/>
        </w:rPr>
        <w:t>July 31, 2026</w:t>
      </w:r>
      <w:r>
        <w:rPr>
          <w:rFonts w:ascii="Arial;sans-serif" w:hAnsi="Arial;sans-serif"/>
          <w:b w:val="false"/>
          <w:color w:val="222222"/>
          <w:sz w:val="20"/>
          <w:shd w:fill="FFFFFF" w:val="clear"/>
        </w:rPr>
        <w:t xml:space="preserve">. Mr. Krawitz will stay on </w:t>
      </w:r>
      <w:r>
        <w:rPr>
          <w:rFonts w:ascii="Arial;sans-serif" w:hAnsi="Arial;sans-serif"/>
          <w:b w:val="false"/>
          <w:color w:val="000000"/>
          <w:sz w:val="20"/>
        </w:rPr>
        <w:t>through July 31, 2026</w:t>
      </w:r>
      <w:r>
        <w:rPr>
          <w:color w:val="222222"/>
          <w:shd w:fill="FFFFFF" w:val="clear"/>
        </w:rPr>
        <w:t xml:space="preserve"> </w:t>
      </w:r>
      <w:r>
        <w:rPr>
          <w:rFonts w:ascii="Arial;sans-serif" w:hAnsi="Arial;sans-serif"/>
          <w:b w:val="false"/>
          <w:color w:val="222222"/>
          <w:sz w:val="20"/>
          <w:shd w:fill="FFFFFF" w:val="clear"/>
        </w:rPr>
        <w:t>to help ensure a smooth transition. Mr. Krawitz's resignation is not the result of any disagreement with the Registrant over any of its financial reporting, operations, policies or practices, or any other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July 2, 2026 </w:t>
      </w:r>
    </w:p>
    <w:p>
      <w:pPr>
        <w:pStyle w:val="TextBody"/>
        <w:bidi w:val="0"/>
        <w:spacing w:lineRule="auto" w:line="288" w:before="0" w:after="0"/>
        <w:jc w:val="left"/>
        <w:rPr>
          <w:color w:val="000000"/>
        </w:rPr>
      </w:pPr>
      <w:r>
        <w:rPr>
          <w:color w:val="000000"/>
        </w:rPr>
        <w:t> </w:t>
      </w:r>
    </w:p>
    <w:tbl>
      <w:tblPr>
        <w:tblW w:w="3650"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265"/>
        <w:gridCol w:w="265"/>
        <w:gridCol w:w="265"/>
        <w:gridCol w:w="265"/>
        <w:gridCol w:w="265"/>
        <w:gridCol w:w="265"/>
        <w:gridCol w:w="265"/>
        <w:gridCol w:w="265"/>
        <w:gridCol w:w="411"/>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5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MICHAEL FISHERMAN</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Fisherman</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Assistant Secretary</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445</Words>
  <Characters>2501</Characters>
  <CharactersWithSpaces>2907</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