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Date of Report (date of earliest event reported): September 10, 2026 </w:t>
      </w:r>
    </w:p>
    <w:p>
      <w:pPr>
        <w:pStyle w:val="TextBody"/>
        <w:bidi w:val="0"/>
        <w:spacing w:before="120" w:after="283"/>
        <w:jc w:val="center"/>
        <w:rPr/>
      </w:pPr>
      <w:r>
        <w:rPr/>
        <w:drawing>
          <wp:inline distT="0" distB="0" distL="0" distR="0">
            <wp:extent cx="16764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6400" cy="419100"/>
                    </a:xfrm>
                    <a:prstGeom prst="rect">
                      <a:avLst/>
                    </a:prstGeom>
                  </pic:spPr>
                </pic:pic>
              </a:graphicData>
            </a:graphic>
          </wp:inline>
        </w:drawing>
      </w:r>
      <w:bookmarkStart w:id="0" w:name="i-1"/>
      <w:bookmarkEnd w:id="0"/>
    </w:p>
    <w:p>
      <w:pPr>
        <w:pStyle w:val="TextBody"/>
        <w:bidi w:val="0"/>
        <w:spacing w:lineRule="auto" w:line="288" w:before="0" w:after="0"/>
        <w:jc w:val="center"/>
        <w:rPr/>
      </w:pPr>
      <w:r>
        <w:rPr>
          <w:color w:val="000000"/>
        </w:rPr>
        <w:t> </w:t>
      </w:r>
      <w:r>
        <w:rPr>
          <w:rFonts w:ascii="Arial;sans-serif" w:hAnsi="Arial;sans-serif"/>
          <w:b/>
          <w:color w:val="000000"/>
          <w:sz w:val="36"/>
        </w:rPr>
        <w:t>CONDUENT INCORPORATED</w:t>
      </w:r>
    </w:p>
    <w:p>
      <w:pPr>
        <w:pStyle w:val="TextBody"/>
        <w:bidi w:val="0"/>
        <w:spacing w:lineRule="auto" w:line="288" w:before="0" w:after="0"/>
        <w:jc w:val="center"/>
        <w:rPr/>
      </w:pPr>
      <w:r>
        <w:rPr>
          <w:rFonts w:ascii="Arial;sans-serif" w:hAnsi="Arial;sans-serif"/>
          <w:b/>
          <w:color w:val="000000"/>
          <w:sz w:val="20"/>
        </w:rPr>
        <w:t>(Exact name of registrant as specified in its charter)</w:t>
      </w:r>
      <w:r>
        <w:rPr>
          <w:color w:val="000000"/>
        </w:rPr>
        <w:t>  </w:t>
      </w:r>
    </w:p>
    <w:tbl>
      <w:tblPr>
        <w:tblW w:w="5052" w:type="dxa"/>
        <w:jc w:val="center"/>
        <w:tblInd w:w="0" w:type="dxa"/>
        <w:tblLayout w:type="fixed"/>
        <w:tblCellMar>
          <w:top w:w="28" w:type="dxa"/>
          <w:left w:w="28" w:type="dxa"/>
          <w:bottom w:w="28" w:type="dxa"/>
          <w:right w:w="28" w:type="dxa"/>
        </w:tblCellMar>
      </w:tblPr>
      <w:tblGrid>
        <w:gridCol w:w="812"/>
        <w:gridCol w:w="715"/>
        <w:gridCol w:w="722"/>
        <w:gridCol w:w="109"/>
        <w:gridCol w:w="109"/>
        <w:gridCol w:w="109"/>
        <w:gridCol w:w="177"/>
        <w:gridCol w:w="177"/>
        <w:gridCol w:w="177"/>
        <w:gridCol w:w="177"/>
        <w:gridCol w:w="177"/>
        <w:gridCol w:w="181"/>
        <w:gridCol w:w="412"/>
        <w:gridCol w:w="412"/>
        <w:gridCol w:w="586"/>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001-37817</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81-2983623</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w:t>
              <w:br/>
              <w:t>File Number)</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br/>
              <w:t>Identification No.)</w:t>
            </w:r>
          </w:p>
        </w:tc>
      </w:tr>
    </w:tbl>
    <w:tbl>
      <w:tblPr>
        <w:tblW w:w="3822" w:type="dxa"/>
        <w:jc w:val="center"/>
        <w:tblInd w:w="0" w:type="dxa"/>
        <w:tblLayout w:type="fixed"/>
        <w:tblCellMar>
          <w:top w:w="28" w:type="dxa"/>
          <w:left w:w="28" w:type="dxa"/>
          <w:bottom w:w="28" w:type="dxa"/>
          <w:right w:w="28" w:type="dxa"/>
        </w:tblCellMar>
      </w:tblPr>
      <w:tblGrid>
        <w:gridCol w:w="793"/>
        <w:gridCol w:w="696"/>
        <w:gridCol w:w="699"/>
        <w:gridCol w:w="128"/>
        <w:gridCol w:w="128"/>
        <w:gridCol w:w="128"/>
        <w:gridCol w:w="364"/>
        <w:gridCol w:w="364"/>
        <w:gridCol w:w="522"/>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 Campus Drive,</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Suite 200,</w:t>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Florham Park,</w:t>
            </w:r>
          </w:p>
        </w:tc>
        <w:tc>
          <w:tcPr>
            <w:tcW w:w="1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New Jersey</w:t>
            </w:r>
          </w:p>
        </w:tc>
      </w:tr>
      <w:tr>
        <w:trPr/>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07932</w:t>
            </w:r>
          </w:p>
        </w:tc>
      </w:tr>
      <w:tr>
        <w:trPr/>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(Address of principal executive offices) (Zip Code)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Registrant’s telephone number, including area code: (844) 663-2638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(Former name or former address, if changed since last report)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jc w:val="left"/>
        <w:rPr>
          <w:color w:val="000000"/>
        </w:rPr>
      </w:pPr>
      <w:r>
        <w:rPr>
          <w:color w:val="000000"/>
        </w:rPr>
        <w:t> </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120"/>
        <w:jc w:val="left"/>
        <w:rPr/>
      </w:pPr>
      <w:r>
        <w:rPr>
          <w:color w:val="000000"/>
        </w:rPr>
        <w:t> </w:t>
      </w:r>
      <w:r>
        <w:rPr>
          <w:rFonts w:ascii="Arial;sans-serif" w:hAnsi="Arial;sans-serif"/>
          <w:b/>
          <w:color w:val="000000"/>
          <w:sz w:val="18"/>
        </w:rPr>
        <w:t>Securities registered pursuant to Section 12(b) of the Act:</w:t>
      </w:r>
    </w:p>
    <w:tbl>
      <w:tblPr>
        <w:tblW w:w="7932" w:type="dxa"/>
        <w:jc w:val="left"/>
        <w:tblInd w:w="0" w:type="dxa"/>
        <w:tblLayout w:type="fixed"/>
        <w:tblCellMar>
          <w:top w:w="28" w:type="dxa"/>
          <w:left w:w="28" w:type="dxa"/>
          <w:bottom w:w="28" w:type="dxa"/>
          <w:right w:w="28" w:type="dxa"/>
        </w:tblCellMar>
      </w:tblPr>
      <w:tblGrid>
        <w:gridCol w:w="1113"/>
        <w:gridCol w:w="974"/>
        <w:gridCol w:w="987"/>
        <w:gridCol w:w="484"/>
        <w:gridCol w:w="484"/>
        <w:gridCol w:w="486"/>
        <w:gridCol w:w="995"/>
        <w:gridCol w:w="995"/>
        <w:gridCol w:w="1414"/>
      </w:tblGrid>
      <w:tr>
        <w:trPr/>
        <w:tc>
          <w:tcPr>
            <w:tcW w:w="111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CNDT</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NASDAQ Global Select Market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(CFR 230.405) or Rule 12b-2 of the Securities Exchange Act of 1934 (CFR 240.12b-2).</w:t>
      </w:r>
    </w:p>
    <w:p>
      <w:pPr>
        <w:pStyle w:val="TextBody"/>
        <w:bidi w:val="0"/>
        <w:spacing w:lineRule="auto" w:line="288" w:before="0" w:after="120"/>
        <w:jc w:val="right"/>
        <w:rPr/>
      </w:pPr>
      <w:r>
        <w:rPr>
          <w:rFonts w:ascii="Arial;sans-serif" w:hAnsi="Arial;sans-serif"/>
          <w:b w:val="false"/>
          <w:color w:val="000000"/>
          <w:sz w:val="20"/>
        </w:rPr>
        <w:t xml:space="preserve">Emerging Growth Company </w:t>
      </w:r>
      <w:r>
        <w:rPr>
          <w:color w:val="000000"/>
        </w:rPr>
        <w:t>☐</w:t>
      </w:r>
    </w:p>
    <w:p>
      <w:pPr>
        <w:pStyle w:val="TextBody"/>
        <w:bidi w:val="0"/>
        <w:spacing w:lineRule="auto" w:line="28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80"/>
        <w:jc w:val="left"/>
        <w:rPr/>
      </w:pPr>
      <w:r>
        <w:rPr/>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8.01. Other Events.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Conduent Incorporated and Conduent Business Services, LLC (collectively, the "Company") are parties to several lawsuits in the U.S. asserted by or on behalf of individuals who allegedly received a notification letter that their personal information may have been affected by our previously disclosed cybersecurity incident that took place in January 2025. Substantially all of these lawsuits have been consolidated into one single action in the U.S. District Court, District of New Jersey (In re: Conduent Business Services Data Breach Litigation). The Company denies plaintiffs' allegations and believes that it has strong defenses to plaintiffs' claims. Nevertheless, to avoid the costs and burdens of litigation, in August 2026, the Company reached an agreement in principle to settle the consolidated case, which the parties disclosed in a joint status report filed with the Court on September 10, 2026. The settlement paperwork is not yet finalized, and the settlement agreement has not yet been approved by the court. The timing of the final court approval of the settlement agreement cannot be predicted with certainty as it will depend on a number of factors outside of the Company's control. The Company maintains cyber insurance and does not expect the settlement to have a material impact on its financial position,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8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Registrant has duly authorized this report to be signed on its behalf by the undersigned duly authorized.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Date: September 10, 2026 </w:t>
      </w:r>
    </w:p>
    <w:p>
      <w:pPr>
        <w:pStyle w:val="TextBody"/>
        <w:bidi w:val="0"/>
        <w:spacing w:lineRule="auto" w:line="288" w:before="0" w:after="0"/>
        <w:jc w:val="left"/>
        <w:rPr>
          <w:color w:val="000000"/>
        </w:rPr>
      </w:pPr>
      <w:r>
        <w:rPr>
          <w:color w:val="000000"/>
        </w:rPr>
        <w:t> </w:t>
      </w:r>
    </w:p>
    <w:tbl>
      <w:tblPr>
        <w:tblW w:w="6303" w:type="dxa"/>
        <w:jc w:val="left"/>
        <w:tblInd w:w="0" w:type="dxa"/>
        <w:tblLayout w:type="fixed"/>
        <w:tblCellMar>
          <w:top w:w="28" w:type="dxa"/>
          <w:left w:w="28" w:type="dxa"/>
          <w:bottom w:w="28" w:type="dxa"/>
          <w:right w:w="28" w:type="dxa"/>
        </w:tblCellMar>
      </w:tblPr>
      <w:tblGrid>
        <w:gridCol w:w="209"/>
        <w:gridCol w:w="182"/>
        <w:gridCol w:w="182"/>
        <w:gridCol w:w="182"/>
        <w:gridCol w:w="182"/>
        <w:gridCol w:w="182"/>
        <w:gridCol w:w="543"/>
        <w:gridCol w:w="543"/>
        <w:gridCol w:w="543"/>
        <w:gridCol w:w="543"/>
        <w:gridCol w:w="543"/>
        <w:gridCol w:w="543"/>
        <w:gridCol w:w="543"/>
        <w:gridCol w:w="543"/>
        <w:gridCol w:w="840"/>
      </w:tblGrid>
      <w:tr>
        <w:trPr/>
        <w:tc>
          <w:tcPr>
            <w:tcW w:w="2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630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INCORPORATED</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20"/>
              </w:rPr>
            </w:pPr>
            <w:r>
              <w:rPr>
                <w:rFonts w:ascii="Arial;sans-serif" w:hAnsi="Arial;sans-serif"/>
                <w:b/>
                <w:i/>
                <w:color w:val="000000"/>
                <w:sz w:val="20"/>
              </w:rPr>
              <w:t>/s/ Anna Novoseletsky</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Anna Novoseletsky</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General Counsel and Secretary</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569</Words>
  <Characters>3165</Characters>
  <CharactersWithSpaces>3692</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